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6F" w:rsidRPr="001046DC" w:rsidRDefault="00991C6F" w:rsidP="00991C6F">
      <w:pPr>
        <w:pStyle w:val="NormalWeb"/>
        <w:bidi/>
        <w:spacing w:before="0" w:beforeAutospacing="0" w:after="150" w:afterAutospacing="0" w:line="408" w:lineRule="atLeast"/>
        <w:ind w:left="360"/>
        <w:rPr>
          <w:rFonts w:ascii="Sakkal Majalla" w:hAnsi="Sakkal Majalla" w:cs="Sakkal Majalla"/>
          <w:sz w:val="28"/>
          <w:szCs w:val="28"/>
          <w:rtl/>
        </w:rPr>
      </w:pPr>
    </w:p>
    <w:p w:rsidR="00991C6F" w:rsidRDefault="00D17355" w:rsidP="00D17355">
      <w:pPr>
        <w:jc w:val="center"/>
        <w:rPr>
          <w:rFonts w:ascii="DIN NEXT™ ARABIC BOLD" w:hAnsi="DIN NEXT™ ARABIC BOLD" w:cs="DIN NEXT™ ARABIC BOLD"/>
          <w:sz w:val="32"/>
          <w:szCs w:val="32"/>
          <w:rtl/>
          <w:lang w:bidi="ar-QA"/>
        </w:rPr>
      </w:pPr>
      <w:r>
        <w:rPr>
          <w:rFonts w:ascii="DIN NEXT™ ARABIC BOLD" w:hAnsi="DIN NEXT™ ARABIC BOLD" w:cs="DIN NEXT™ ARABIC BOLD"/>
          <w:sz w:val="32"/>
          <w:szCs w:val="32"/>
          <w:rtl/>
          <w:lang w:bidi="ar-QA"/>
        </w:rPr>
        <w:t>الخطة الدراسية</w:t>
      </w:r>
      <w:r>
        <w:rPr>
          <w:rFonts w:ascii="DIN NEXT™ ARABIC BOLD" w:hAnsi="DIN NEXT™ ARABIC BOLD" w:cs="DIN NEXT™ ARABIC BOLD" w:hint="cs"/>
          <w:sz w:val="32"/>
          <w:szCs w:val="32"/>
          <w:rtl/>
          <w:lang w:bidi="ar-QA"/>
        </w:rPr>
        <w:t xml:space="preserve"> لبرنامج الدكتوراه في القانون</w:t>
      </w:r>
      <w:bookmarkStart w:id="0" w:name="_GoBack"/>
      <w:bookmarkEnd w:id="0"/>
    </w:p>
    <w:p w:rsidR="00D17355" w:rsidRPr="00C72652" w:rsidRDefault="00D17355" w:rsidP="00D17355">
      <w:pPr>
        <w:jc w:val="center"/>
        <w:rPr>
          <w:rFonts w:ascii="DIN NEXT™ ARABIC BOLD" w:hAnsi="DIN NEXT™ ARABIC BOLD" w:cs="DIN NEXT™ ARABIC BOLD"/>
          <w:sz w:val="32"/>
          <w:szCs w:val="32"/>
          <w:lang w:bidi="ar-QA"/>
        </w:rPr>
      </w:pPr>
    </w:p>
    <w:p w:rsidR="00991C6F" w:rsidRDefault="00991C6F" w:rsidP="00991C6F">
      <w:pPr>
        <w:pStyle w:val="ListParagraph"/>
        <w:numPr>
          <w:ilvl w:val="0"/>
          <w:numId w:val="5"/>
        </w:numPr>
        <w:spacing w:after="120"/>
        <w:rPr>
          <w:rFonts w:ascii="Sakkal Majalla" w:hAnsi="Sakkal Majalla" w:cs="Sakkal Majalla"/>
          <w:sz w:val="28"/>
          <w:szCs w:val="28"/>
        </w:rPr>
      </w:pPr>
      <w:r w:rsidRPr="00AE7B7D">
        <w:rPr>
          <w:rFonts w:ascii="Sakkal Majalla" w:hAnsi="Sakkal Majalla" w:cs="Sakkal Majalla"/>
          <w:sz w:val="28"/>
          <w:szCs w:val="28"/>
          <w:rtl/>
        </w:rPr>
        <w:t xml:space="preserve">يطرح البرنامج بدوام كامل، ويبدأ في </w:t>
      </w:r>
      <w:r>
        <w:rPr>
          <w:rFonts w:ascii="Sakkal Majalla" w:hAnsi="Sakkal Majalla" w:cs="Sakkal Majalla" w:hint="cs"/>
          <w:sz w:val="28"/>
          <w:szCs w:val="28"/>
          <w:rtl/>
        </w:rPr>
        <w:t>ال</w:t>
      </w:r>
      <w:r w:rsidRPr="00AE7B7D">
        <w:rPr>
          <w:rFonts w:ascii="Sakkal Majalla" w:hAnsi="Sakkal Majalla" w:cs="Sakkal Majalla"/>
          <w:sz w:val="28"/>
          <w:szCs w:val="28"/>
          <w:rtl/>
        </w:rPr>
        <w:t>خريف من كل عام أكاديمي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حيث </w:t>
      </w:r>
      <w:r w:rsidRPr="00AE7B7D">
        <w:rPr>
          <w:rFonts w:ascii="Sakkal Majalla" w:hAnsi="Sakkal Majalla" w:cs="Sakkal Majalla"/>
          <w:sz w:val="28"/>
          <w:szCs w:val="28"/>
          <w:rtl/>
        </w:rPr>
        <w:t>من المتوقع من الطلا</w:t>
      </w:r>
      <w:r>
        <w:rPr>
          <w:rFonts w:ascii="Sakkal Majalla" w:hAnsi="Sakkal Majalla" w:cs="Sakkal Majalla"/>
          <w:sz w:val="28"/>
          <w:szCs w:val="28"/>
          <w:rtl/>
        </w:rPr>
        <w:t>ب إكمال برنامجهم في ثلاث سنوا</w:t>
      </w:r>
      <w:r>
        <w:rPr>
          <w:rFonts w:ascii="Sakkal Majalla" w:hAnsi="Sakkal Majalla" w:cs="Sakkal Majalla" w:hint="cs"/>
          <w:sz w:val="28"/>
          <w:szCs w:val="28"/>
          <w:rtl/>
        </w:rPr>
        <w:t>ت.</w:t>
      </w:r>
    </w:p>
    <w:p w:rsidR="00991C6F" w:rsidRPr="00AE7B7D" w:rsidRDefault="00991C6F" w:rsidP="00991C6F">
      <w:pPr>
        <w:pStyle w:val="ListParagraph"/>
        <w:numPr>
          <w:ilvl w:val="0"/>
          <w:numId w:val="5"/>
        </w:numPr>
        <w:spacing w:after="12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تُخصص السنة الدراسية الأولى لدراسة 4 مقررات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>(12 ساعة مكتسبة).</w:t>
      </w:r>
    </w:p>
    <w:p w:rsidR="00991C6F" w:rsidRDefault="00991C6F" w:rsidP="00991C6F">
      <w:pPr>
        <w:pStyle w:val="ListParagraph"/>
        <w:numPr>
          <w:ilvl w:val="0"/>
          <w:numId w:val="5"/>
        </w:numPr>
        <w:spacing w:after="120"/>
        <w:rPr>
          <w:rFonts w:ascii="Sakkal Majalla" w:hAnsi="Sakkal Majalla" w:cs="Sakkal Majalla"/>
          <w:sz w:val="28"/>
          <w:szCs w:val="28"/>
        </w:rPr>
      </w:pPr>
      <w:r w:rsidRPr="00AE7B7D">
        <w:rPr>
          <w:rFonts w:ascii="Sakkal Majalla" w:hAnsi="Sakkal Majalla" w:cs="Sakkal Majalla"/>
          <w:sz w:val="28"/>
          <w:szCs w:val="28"/>
          <w:rtl/>
        </w:rPr>
        <w:t xml:space="preserve">بنهاية السنة الأولى يقدم الطلبة </w:t>
      </w:r>
      <w:r>
        <w:rPr>
          <w:rFonts w:ascii="Sakkal Majalla" w:hAnsi="Sakkal Majalla" w:cs="Sakkal Majalla" w:hint="cs"/>
          <w:sz w:val="28"/>
          <w:szCs w:val="28"/>
          <w:rtl/>
        </w:rPr>
        <w:t>الاختبار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</w:t>
      </w:r>
      <w:r w:rsidRPr="00AE7B7D">
        <w:rPr>
          <w:rFonts w:ascii="Sakkal Majalla" w:hAnsi="Sakkal Majalla" w:cs="Sakkal Majalla"/>
          <w:sz w:val="28"/>
          <w:szCs w:val="28"/>
          <w:rtl/>
        </w:rPr>
        <w:t>شامل</w:t>
      </w:r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وهو امتحان كتابي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 xml:space="preserve">وشفوي 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يقيس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مدى 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قدرة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الطالب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>الاستيعابية فيما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يتعلق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>بالمعارف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المرتبطة بمجال دراسته.</w:t>
      </w:r>
    </w:p>
    <w:p w:rsidR="00991C6F" w:rsidRPr="00AE7B7D" w:rsidRDefault="00991C6F" w:rsidP="00991C6F">
      <w:pPr>
        <w:pStyle w:val="ListParagraph"/>
        <w:numPr>
          <w:ilvl w:val="0"/>
          <w:numId w:val="5"/>
        </w:numPr>
        <w:spacing w:after="120"/>
        <w:rPr>
          <w:rFonts w:ascii="Sakkal Majalla" w:hAnsi="Sakkal Majalla" w:cs="Sakkal Majalla"/>
          <w:sz w:val="28"/>
          <w:szCs w:val="28"/>
        </w:rPr>
      </w:pPr>
      <w:r w:rsidRPr="00AE7B7D">
        <w:rPr>
          <w:rFonts w:ascii="Sakkal Majalla" w:hAnsi="Sakkal Majalla" w:cs="Sakkal Majalla"/>
          <w:sz w:val="28"/>
          <w:szCs w:val="28"/>
          <w:rtl/>
        </w:rPr>
        <w:t xml:space="preserve"> في حال اجتياز الامتحان الشامل،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 xml:space="preserve">يسجل الطالب أطروحة </w:t>
      </w:r>
      <w:proofErr w:type="spellStart"/>
      <w:r w:rsidRPr="00AE7B7D">
        <w:rPr>
          <w:rFonts w:ascii="Sakkal Majalla" w:hAnsi="Sakkal Majalla" w:cs="Sakkal Majalla" w:hint="cs"/>
          <w:sz w:val="28"/>
          <w:szCs w:val="28"/>
          <w:rtl/>
        </w:rPr>
        <w:t>الدكتورا</w:t>
      </w:r>
      <w:r>
        <w:rPr>
          <w:rFonts w:ascii="Sakkal Majalla" w:hAnsi="Sakkal Majalla" w:cs="Sakkal Majalla" w:hint="cs"/>
          <w:sz w:val="28"/>
          <w:szCs w:val="28"/>
          <w:rtl/>
        </w:rPr>
        <w:t>ة</w:t>
      </w:r>
      <w:proofErr w:type="spellEnd"/>
      <w:r w:rsidRPr="00AE7B7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>في الفصل الدراسي الثا</w:t>
      </w:r>
      <w:r>
        <w:rPr>
          <w:rFonts w:ascii="Sakkal Majalla" w:hAnsi="Sakkal Majalla" w:cs="Sakkal Majalla" w:hint="cs"/>
          <w:sz w:val="28"/>
          <w:szCs w:val="28"/>
          <w:rtl/>
        </w:rPr>
        <w:t>لث ويبني خطته البحثية للأطروحة تحت إشراف مشرفه،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 xml:space="preserve"> و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بنهاية الفصل يخضع لاختبار ترشيح. في هذا الاختبار 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>يُنَاقَش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الطالب </w:t>
      </w:r>
      <w:proofErr w:type="spellStart"/>
      <w:r w:rsidRPr="00AE7B7D">
        <w:rPr>
          <w:rFonts w:ascii="Sakkal Majalla" w:hAnsi="Sakkal Majalla" w:cs="Sakkal Majalla"/>
          <w:sz w:val="28"/>
          <w:szCs w:val="28"/>
          <w:rtl/>
        </w:rPr>
        <w:t>شفاهة</w:t>
      </w:r>
      <w:proofErr w:type="spellEnd"/>
      <w:r w:rsidRPr="00AE7B7D">
        <w:rPr>
          <w:rFonts w:ascii="Sakkal Majalla" w:hAnsi="Sakkal Majalla" w:cs="Sakkal Majalla"/>
          <w:sz w:val="28"/>
          <w:szCs w:val="28"/>
          <w:rtl/>
        </w:rPr>
        <w:t xml:space="preserve"> للتأكد من المحتوى المعرفي الخاص بأطروحته ومدى إلمامه بموضوع الأطروحة والخلفية العلمية المتعلقة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بها.</w:t>
      </w:r>
    </w:p>
    <w:p w:rsidR="00991C6F" w:rsidRDefault="00991C6F" w:rsidP="00991C6F">
      <w:pPr>
        <w:pStyle w:val="ListParagraph"/>
        <w:numPr>
          <w:ilvl w:val="0"/>
          <w:numId w:val="5"/>
        </w:numPr>
        <w:spacing w:after="12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يستمر الطالب في تسجيل الأطروحة في الفصل الدراسي الرابع، والخامس، والسادس، ويكتب الأطروحة حيث إنه من المتوقع أن ينتهي من كتابتها ويناقشها في نهاية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السنة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الدراسية</w:t>
      </w:r>
      <w:r w:rsidRPr="00AE7B7D">
        <w:rPr>
          <w:rFonts w:ascii="Sakkal Majalla" w:hAnsi="Sakkal Majalla" w:cs="Sakkal Majalla"/>
          <w:sz w:val="28"/>
          <w:szCs w:val="28"/>
          <w:rtl/>
        </w:rPr>
        <w:t xml:space="preserve"> الثالثة</w:t>
      </w:r>
      <w:r w:rsidRPr="00AE7B7D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991C6F" w:rsidRPr="00C72652" w:rsidRDefault="00991C6F" w:rsidP="00991C6F">
      <w:pPr>
        <w:pStyle w:val="ListParagraph"/>
        <w:spacing w:after="120"/>
        <w:rPr>
          <w:rFonts w:ascii="Sakkal Majalla" w:hAnsi="Sakkal Majalla" w:cs="Sakkal Majalla"/>
          <w:sz w:val="28"/>
          <w:szCs w:val="28"/>
          <w:rtl/>
        </w:rPr>
      </w:pPr>
    </w:p>
    <w:p w:rsidR="00991C6F" w:rsidRPr="00C72652" w:rsidRDefault="00991C6F" w:rsidP="00991C6F">
      <w:pPr>
        <w:jc w:val="center"/>
        <w:rPr>
          <w:rFonts w:ascii="DIN NEXT™ ARABIC BOLD" w:hAnsi="DIN NEXT™ ARABIC BOLD" w:cs="DIN NEXT™ ARABIC BOLD"/>
          <w:sz w:val="32"/>
          <w:szCs w:val="32"/>
          <w:lang w:bidi="ar-QA"/>
        </w:rPr>
      </w:pPr>
      <w:r w:rsidRPr="00C72652">
        <w:rPr>
          <w:rFonts w:ascii="DIN NEXT™ ARABIC BOLD" w:hAnsi="DIN NEXT™ ARABIC BOLD" w:cs="DIN NEXT™ ARABIC BOLD" w:hint="cs"/>
          <w:sz w:val="32"/>
          <w:szCs w:val="32"/>
          <w:rtl/>
          <w:lang w:bidi="ar-QA"/>
        </w:rPr>
        <w:t>محتويات الخطة الدراسية</w:t>
      </w:r>
    </w:p>
    <w:tbl>
      <w:tblPr>
        <w:tblW w:w="7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1477"/>
        <w:gridCol w:w="3870"/>
      </w:tblGrid>
      <w:tr w:rsidR="00991C6F" w:rsidRPr="001046DC" w:rsidTr="001851B8">
        <w:trPr>
          <w:trHeight w:val="721"/>
          <w:jc w:val="center"/>
        </w:trPr>
        <w:tc>
          <w:tcPr>
            <w:tcW w:w="2470" w:type="dxa"/>
            <w:shd w:val="clear" w:color="auto" w:fill="DEEAF6" w:themeFill="accent1" w:themeFillTint="33"/>
          </w:tcPr>
          <w:p w:rsidR="00991C6F" w:rsidRPr="001046DC" w:rsidRDefault="00991C6F" w:rsidP="001851B8">
            <w:pPr>
              <w:bidi/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</w:t>
            </w: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الساعات المكتسبة</w:t>
            </w:r>
          </w:p>
        </w:tc>
        <w:tc>
          <w:tcPr>
            <w:tcW w:w="1477" w:type="dxa"/>
            <w:shd w:val="clear" w:color="auto" w:fill="DEEAF6" w:themeFill="accent1" w:themeFillTint="33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المقررات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:rsidR="00991C6F" w:rsidRPr="001046DC" w:rsidRDefault="00991C6F" w:rsidP="001851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مكونات البرنامج الدراسي</w:t>
            </w:r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9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3870" w:type="dxa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مقررات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إ</w:t>
            </w: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جبارية </w:t>
            </w:r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3870" w:type="dxa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مقرر اختياري</w:t>
            </w:r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الاختبار</w:t>
            </w: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</w:t>
            </w: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شامل</w:t>
            </w:r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اختبار</w:t>
            </w: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</w:t>
            </w: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ترشيح</w:t>
            </w:r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48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أطروحة </w:t>
            </w:r>
            <w:proofErr w:type="spellStart"/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الدكتورا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ة</w:t>
            </w:r>
            <w:proofErr w:type="spellEnd"/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0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مناقشة أطروحة </w:t>
            </w:r>
            <w:proofErr w:type="spellStart"/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الدكتورا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ة</w:t>
            </w:r>
            <w:proofErr w:type="spellEnd"/>
          </w:p>
        </w:tc>
      </w:tr>
      <w:tr w:rsidR="00991C6F" w:rsidRPr="001046DC" w:rsidTr="001851B8">
        <w:trPr>
          <w:jc w:val="center"/>
        </w:trPr>
        <w:tc>
          <w:tcPr>
            <w:tcW w:w="2470" w:type="dxa"/>
          </w:tcPr>
          <w:p w:rsidR="00991C6F" w:rsidRPr="001046DC" w:rsidRDefault="00991C6F" w:rsidP="001851B8">
            <w:pPr>
              <w:bidi/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60</w:t>
            </w:r>
          </w:p>
        </w:tc>
        <w:tc>
          <w:tcPr>
            <w:tcW w:w="1477" w:type="dxa"/>
          </w:tcPr>
          <w:p w:rsidR="00991C6F" w:rsidRPr="001046DC" w:rsidRDefault="00991C6F" w:rsidP="001851B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</w:rPr>
              <w:t>8</w:t>
            </w:r>
          </w:p>
        </w:tc>
        <w:tc>
          <w:tcPr>
            <w:tcW w:w="3870" w:type="dxa"/>
            <w:shd w:val="clear" w:color="auto" w:fill="auto"/>
          </w:tcPr>
          <w:p w:rsidR="00991C6F" w:rsidRPr="001046DC" w:rsidRDefault="00991C6F" w:rsidP="001851B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المجموع</w:t>
            </w:r>
          </w:p>
        </w:tc>
      </w:tr>
    </w:tbl>
    <w:p w:rsidR="00991C6F" w:rsidRPr="001046DC" w:rsidRDefault="00991C6F" w:rsidP="00991C6F">
      <w:pPr>
        <w:bidi/>
        <w:spacing w:after="20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QA"/>
        </w:rPr>
      </w:pPr>
    </w:p>
    <w:p w:rsidR="00991C6F" w:rsidRDefault="00991C6F" w:rsidP="00991C6F">
      <w:pPr>
        <w:bidi/>
        <w:spacing w:after="200" w:line="276" w:lineRule="auto"/>
        <w:rPr>
          <w:rFonts w:ascii="Sakkal Majalla" w:hAnsi="Sakkal Majalla" w:cs="Sakkal Majalla"/>
          <w:sz w:val="28"/>
          <w:szCs w:val="28"/>
          <w:lang w:bidi="ar-QA"/>
        </w:rPr>
      </w:pPr>
    </w:p>
    <w:p w:rsidR="00991C6F" w:rsidRPr="001F3CD1" w:rsidRDefault="00991C6F" w:rsidP="00991C6F">
      <w:pPr>
        <w:bidi/>
        <w:spacing w:after="200" w:line="276" w:lineRule="auto"/>
        <w:rPr>
          <w:rFonts w:ascii="Sakkal Majalla" w:hAnsi="Sakkal Majalla" w:cs="Sakkal Majalla"/>
          <w:sz w:val="28"/>
          <w:szCs w:val="28"/>
          <w:rtl/>
          <w:lang w:bidi="ar-QA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و </w:t>
      </w:r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>تختلف</w:t>
      </w:r>
      <w:proofErr w:type="gramEnd"/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الخطة الدراسية باختلاف المسار الذي يختاره الطالب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، مسار قانون عام، أو مسار قانون خاص، أو مسار قانون دولي:</w:t>
      </w:r>
    </w:p>
    <w:p w:rsidR="00991C6F" w:rsidRPr="00C72652" w:rsidRDefault="00991C6F" w:rsidP="00991C6F">
      <w:pPr>
        <w:shd w:val="clear" w:color="auto" w:fill="D9D9D9" w:themeFill="background1" w:themeFillShade="D9"/>
        <w:jc w:val="right"/>
        <w:rPr>
          <w:rFonts w:ascii="DIN NEXT™ ARABIC BOLD" w:hAnsi="DIN NEXT™ ARABIC BOLD" w:cs="DIN NEXT™ ARABIC BOLD"/>
          <w:sz w:val="32"/>
          <w:szCs w:val="32"/>
          <w:rtl/>
          <w:lang w:bidi="ar-QA"/>
        </w:rPr>
      </w:pPr>
      <w:r w:rsidRPr="00C72652">
        <w:rPr>
          <w:rFonts w:ascii="DIN NEXT™ ARABIC BOLD" w:hAnsi="DIN NEXT™ ARABIC BOLD" w:cs="DIN NEXT™ ARABIC BOLD" w:hint="cs"/>
          <w:sz w:val="32"/>
          <w:szCs w:val="32"/>
          <w:rtl/>
          <w:lang w:bidi="ar-QA"/>
        </w:rPr>
        <w:t>أولا: الخطة الدراسية لمسار القانون العام.</w:t>
      </w:r>
    </w:p>
    <w:p w:rsidR="00991C6F" w:rsidRDefault="00991C6F" w:rsidP="00991C6F">
      <w:pPr>
        <w:bidi/>
        <w:spacing w:after="200" w:line="276" w:lineRule="auto"/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QA"/>
        </w:rPr>
      </w:pPr>
      <w:r w:rsidRPr="00BE42B9">
        <w:rPr>
          <w:rFonts w:ascii="Sakkal Majalla" w:hAnsi="Sakkal Majalla" w:cs="Sakkal Majalla"/>
          <w:sz w:val="28"/>
          <w:szCs w:val="28"/>
          <w:u w:val="single"/>
          <w:rtl/>
          <w:lang w:bidi="ar-QA"/>
        </w:rPr>
        <w:t>السنة الأولى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QA"/>
        </w:rPr>
        <w:t>: 12 ساعة مكتسبة</w:t>
      </w:r>
    </w:p>
    <w:p w:rsidR="00991C6F" w:rsidRPr="001046DC" w:rsidRDefault="00991C6F" w:rsidP="00991C6F">
      <w:pPr>
        <w:bidi/>
        <w:spacing w:after="200" w:line="276" w:lineRule="auto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QA"/>
        </w:rPr>
        <w:t>الفصل الدراسي الأول (خريف)</w:t>
      </w:r>
      <w:bookmarkStart w:id="1" w:name="_Hlk25662380"/>
    </w:p>
    <w:tbl>
      <w:tblPr>
        <w:tblW w:w="6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55"/>
        <w:gridCol w:w="5400"/>
      </w:tblGrid>
      <w:tr w:rsidR="00991C6F" w:rsidRPr="001046DC" w:rsidTr="001851B8">
        <w:trPr>
          <w:trHeight w:val="542"/>
          <w:jc w:val="center"/>
        </w:trPr>
        <w:tc>
          <w:tcPr>
            <w:tcW w:w="1255" w:type="dxa"/>
            <w:vMerge w:val="restart"/>
            <w:shd w:val="clear" w:color="auto" w:fill="DEEAF6" w:themeFill="accent1" w:themeFillTint="33"/>
          </w:tcPr>
          <w:bookmarkEnd w:id="1"/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400" w:type="dxa"/>
            <w:vMerge w:val="restart"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255" w:type="dxa"/>
            <w:vMerge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400" w:type="dxa"/>
            <w:vMerge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F02416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400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إجباري: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مهارات البحث القانوني</w:t>
            </w: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 </w:t>
            </w:r>
          </w:p>
          <w:p w:rsidR="00991C6F" w:rsidRPr="00F02416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Legal Research Skills (PULW800) 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F02416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400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إجباري: القانون الاقتصادي الدولي</w:t>
            </w:r>
          </w:p>
          <w:p w:rsidR="00991C6F" w:rsidRPr="00F02416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Public Economic Law (LAWD802)</w:t>
            </w:r>
          </w:p>
        </w:tc>
      </w:tr>
    </w:tbl>
    <w:p w:rsidR="00991C6F" w:rsidRDefault="00991C6F" w:rsidP="00991C6F">
      <w:pPr>
        <w:bidi/>
        <w:ind w:firstLine="36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B16FE3" w:rsidRDefault="00991C6F" w:rsidP="00991C6F">
      <w:pPr>
        <w:bidi/>
        <w:ind w:firstLine="360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B16FE3">
        <w:rPr>
          <w:rFonts w:ascii="Sakkal Majalla" w:hAnsi="Sakkal Majalla" w:cs="Sakkal Majalla"/>
          <w:sz w:val="28"/>
          <w:szCs w:val="28"/>
          <w:rtl/>
        </w:rPr>
        <w:t>الفصل الدراسي الثاني (ربيع)</w:t>
      </w:r>
    </w:p>
    <w:tbl>
      <w:tblPr>
        <w:tblW w:w="6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65"/>
        <w:gridCol w:w="5589"/>
      </w:tblGrid>
      <w:tr w:rsidR="00991C6F" w:rsidRPr="001046DC" w:rsidTr="001851B8">
        <w:trPr>
          <w:trHeight w:val="542"/>
          <w:jc w:val="center"/>
        </w:trPr>
        <w:tc>
          <w:tcPr>
            <w:tcW w:w="1165" w:type="dxa"/>
            <w:vMerge w:val="restart"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9" w:type="dxa"/>
            <w:vMerge w:val="restart"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165" w:type="dxa"/>
            <w:vMerge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9" w:type="dxa"/>
            <w:vMerge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F02416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إجباري: الأنظمة القانونية المقارنة </w:t>
            </w:r>
          </w:p>
          <w:p w:rsidR="00991C6F" w:rsidRPr="00F02416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lastRenderedPageBreak/>
              <w:t>Comparative Legal Systems (LAWD801)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F02416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0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الاختبار الشامل</w:t>
            </w:r>
          </w:p>
          <w:p w:rsidR="00991C6F" w:rsidRPr="00F02416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Comprehensive exam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6754" w:type="dxa"/>
            <w:gridSpan w:val="2"/>
            <w:shd w:val="clear" w:color="auto" w:fill="F2F2F2" w:themeFill="background1" w:themeFillShade="F2"/>
            <w:vAlign w:val="center"/>
          </w:tcPr>
          <w:p w:rsidR="00991C6F" w:rsidRPr="00F02416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اختيار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واحد من</w:t>
            </w: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المقررات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الاختيارية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التالية بالتنسيق مع المشرف ومنسق الدراسات العليا</w:t>
            </w: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F02416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الجرائم الالكترونية </w:t>
            </w:r>
          </w:p>
          <w:p w:rsidR="00991C6F" w:rsidRPr="00F02416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Information Technology Crimes (LAWD805) 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>قانون المنظمات الدولية</w:t>
            </w:r>
          </w:p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Law of International Organizations (LAWD806)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الحقوق والحريات العامة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Fundamental Rights and Freedoms</w:t>
            </w: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06BC">
              <w:rPr>
                <w:rFonts w:ascii="Sakkal Majalla" w:hAnsi="Sakkal Majalla" w:cs="Sakkal Majalla"/>
                <w:sz w:val="28"/>
                <w:szCs w:val="28"/>
              </w:rPr>
              <w:t>(PULW811)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العقود الإدارية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Administrative Contracts (PULW812)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الجرائم المعلوماتية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>Cyber Crimes (PULW813)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الجرائم المنظمة عبر الوطنية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Cross-Border Organized Crimes</w:t>
            </w: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06BC">
              <w:rPr>
                <w:rFonts w:ascii="Sakkal Majalla" w:hAnsi="Sakkal Majalla" w:cs="Sakkal Majalla"/>
                <w:sz w:val="28"/>
                <w:szCs w:val="28"/>
              </w:rPr>
              <w:t>(PULW814)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قانون المسؤولية الدولية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The Law of International Responsibility (PULW815)</w:t>
            </w:r>
          </w:p>
        </w:tc>
      </w:tr>
      <w:tr w:rsidR="00991C6F" w:rsidRPr="00F02416" w:rsidTr="001851B8">
        <w:trPr>
          <w:trHeight w:val="388"/>
          <w:jc w:val="center"/>
        </w:trPr>
        <w:tc>
          <w:tcPr>
            <w:tcW w:w="1165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الحل السلمي للمنازعات الدولية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Peaceful Settlement of Inter-State Disputes (PULW816)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QA"/>
        </w:rPr>
      </w:pPr>
    </w:p>
    <w:p w:rsidR="00991C6F" w:rsidRPr="00BE42B9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BE42B9">
        <w:rPr>
          <w:rFonts w:ascii="Sakkal Majalla" w:hAnsi="Sakkal Majalla" w:cs="Sakkal Majalla"/>
          <w:sz w:val="28"/>
          <w:szCs w:val="28"/>
          <w:u w:val="single"/>
          <w:rtl/>
        </w:rPr>
        <w:t>السنة الثانية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 24 ساعة مكتسبة</w:t>
      </w: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الثالث (خريف)</w:t>
      </w:r>
    </w:p>
    <w:tbl>
      <w:tblPr>
        <w:tblW w:w="6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5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255" w:type="dxa"/>
            <w:vMerge w:val="restart"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255" w:type="dxa"/>
            <w:vMerge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إجباري: الأطروحة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Doctoral dissertation 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 الترشيح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Candidacy Exam   </w:t>
            </w:r>
          </w:p>
        </w:tc>
      </w:tr>
    </w:tbl>
    <w:p w:rsidR="00991C6F" w:rsidRPr="001046DC" w:rsidRDefault="00991C6F" w:rsidP="00991C6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الرابع (ربيع)</w:t>
      </w:r>
    </w:p>
    <w:tbl>
      <w:tblPr>
        <w:tblW w:w="6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34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345" w:type="dxa"/>
            <w:vMerge w:val="restart"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345" w:type="dxa"/>
            <w:vMerge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34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Doctoral dissertation 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BE42B9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BE42B9">
        <w:rPr>
          <w:rFonts w:ascii="Sakkal Majalla" w:hAnsi="Sakkal Majalla" w:cs="Sakkal Majalla"/>
          <w:sz w:val="28"/>
          <w:szCs w:val="28"/>
          <w:u w:val="single"/>
          <w:rtl/>
        </w:rPr>
        <w:t>السنة الثالثة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 24 ساعة مكتسبة</w:t>
      </w: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الخامس (خريف)</w:t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435" w:type="dxa"/>
            <w:vMerge w:val="restart"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435" w:type="dxa"/>
            <w:vMerge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lastRenderedPageBreak/>
              <w:t>Doctoral dissertation</w:t>
            </w:r>
          </w:p>
        </w:tc>
      </w:tr>
    </w:tbl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lastRenderedPageBreak/>
        <w:t>الفصل الدراسي السادس (ربيع)</w:t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435" w:type="dxa"/>
            <w:vMerge w:val="restart"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435" w:type="dxa"/>
            <w:vMerge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Doctoral dissertation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مناقشة الأطروحة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Dissertation defense exam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C72652" w:rsidRDefault="00991C6F" w:rsidP="00991C6F">
      <w:pPr>
        <w:shd w:val="clear" w:color="auto" w:fill="D9D9D9" w:themeFill="background1" w:themeFillShade="D9"/>
        <w:jc w:val="right"/>
        <w:rPr>
          <w:rFonts w:ascii="DIN NEXT™ ARABIC BOLD" w:hAnsi="DIN NEXT™ ARABIC BOLD" w:cs="DIN NEXT™ ARABIC BOLD"/>
          <w:sz w:val="32"/>
          <w:szCs w:val="32"/>
          <w:rtl/>
          <w:lang w:bidi="ar-QA"/>
        </w:rPr>
      </w:pPr>
      <w:r w:rsidRPr="00C72652">
        <w:rPr>
          <w:rFonts w:ascii="DIN NEXT™ ARABIC BOLD" w:hAnsi="DIN NEXT™ ARABIC BOLD" w:cs="DIN NEXT™ ARABIC BOLD"/>
          <w:sz w:val="32"/>
          <w:szCs w:val="32"/>
          <w:rtl/>
          <w:lang w:bidi="ar-QA"/>
        </w:rPr>
        <w:t xml:space="preserve">ثانيا: الخطة الدراسية لمسار القانون الخاص:  </w:t>
      </w:r>
    </w:p>
    <w:p w:rsidR="00991C6F" w:rsidRPr="001F3CD1" w:rsidRDefault="00991C6F" w:rsidP="00991C6F">
      <w:pPr>
        <w:bidi/>
        <w:spacing w:after="200" w:line="276" w:lineRule="auto"/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QA"/>
        </w:rPr>
      </w:pPr>
      <w:r w:rsidRPr="001F3CD1">
        <w:rPr>
          <w:rFonts w:ascii="Sakkal Majalla" w:hAnsi="Sakkal Majalla" w:cs="Sakkal Majalla"/>
          <w:sz w:val="28"/>
          <w:szCs w:val="28"/>
          <w:u w:val="single"/>
          <w:rtl/>
          <w:lang w:bidi="ar-QA"/>
        </w:rPr>
        <w:t>السنة الأولى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QA"/>
        </w:rPr>
        <w:t xml:space="preserve">: 12 ساعة مكتسبة </w:t>
      </w:r>
    </w:p>
    <w:p w:rsidR="00991C6F" w:rsidRPr="001046DC" w:rsidRDefault="00991C6F" w:rsidP="00991C6F">
      <w:pPr>
        <w:bidi/>
        <w:spacing w:after="200" w:line="276" w:lineRule="auto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QA"/>
        </w:rPr>
        <w:t>الفصل الدراسي الأول (خريف)</w:t>
      </w:r>
    </w:p>
    <w:tbl>
      <w:tblPr>
        <w:tblW w:w="6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55"/>
        <w:gridCol w:w="5400"/>
      </w:tblGrid>
      <w:tr w:rsidR="00991C6F" w:rsidRPr="001046DC" w:rsidTr="001851B8">
        <w:trPr>
          <w:trHeight w:val="542"/>
          <w:jc w:val="center"/>
        </w:trPr>
        <w:tc>
          <w:tcPr>
            <w:tcW w:w="1255" w:type="dxa"/>
            <w:vMerge w:val="restart"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400" w:type="dxa"/>
            <w:vMerge w:val="restart"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255" w:type="dxa"/>
            <w:vMerge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400" w:type="dxa"/>
            <w:vMerge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400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إجباري: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مهارات البحث القانوني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Legal research skills (PRLW800)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400" w:type="dxa"/>
            <w:vAlign w:val="center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قانون العق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د المقارن</w:t>
            </w:r>
          </w:p>
          <w:p w:rsidR="00991C6F" w:rsidRPr="00B16FE3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>Comparative contract law (LAWD803)</w:t>
            </w:r>
          </w:p>
        </w:tc>
      </w:tr>
    </w:tbl>
    <w:p w:rsidR="00991C6F" w:rsidRDefault="00991C6F" w:rsidP="00991C6F">
      <w:pPr>
        <w:bidi/>
        <w:ind w:firstLine="360"/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991C6F" w:rsidRPr="001F3CD1" w:rsidRDefault="00991C6F" w:rsidP="00991C6F">
      <w:pPr>
        <w:bidi/>
        <w:ind w:firstLine="360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الثاني (ربيع)</w:t>
      </w:r>
    </w:p>
    <w:tbl>
      <w:tblPr>
        <w:tblW w:w="6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80"/>
        <w:gridCol w:w="5589"/>
      </w:tblGrid>
      <w:tr w:rsidR="00991C6F" w:rsidRPr="001046DC" w:rsidTr="001851B8">
        <w:trPr>
          <w:trHeight w:val="542"/>
          <w:jc w:val="center"/>
        </w:trPr>
        <w:tc>
          <w:tcPr>
            <w:tcW w:w="1080" w:type="dxa"/>
            <w:vMerge w:val="restart"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9" w:type="dxa"/>
            <w:vMerge w:val="restart"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080" w:type="dxa"/>
            <w:vMerge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9" w:type="dxa"/>
            <w:vMerge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إجباري: الأنظمة القانونية المقارنة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>Comparative legal systems (LAWD801)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الاختبار الشامل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Comprehensive exam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6669" w:type="dxa"/>
            <w:gridSpan w:val="2"/>
            <w:shd w:val="clear" w:color="auto" w:fill="F2F2F2" w:themeFill="background1" w:themeFillShade="F2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اختيار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واحد من</w:t>
            </w: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المقررات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الاختيارية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التالية بالتنسيق مع المشرف ومنسق الدراسات العليا</w:t>
            </w: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التمويل الإسلامي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Islamic Finance (LAWD807)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طرق فض المنازعات</w:t>
            </w:r>
          </w:p>
          <w:p w:rsidR="00991C6F" w:rsidRPr="00B16FE3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>Means of settling disputes (LAWD808)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991C6F" w:rsidRPr="00BC0429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</w:tcPr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BC0429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عقود التأمين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Insurance Contracts (PRLW817)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المسؤولية المهنية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Civil Liability of Professionals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 xml:space="preserve"> PRLW818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)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عقود الإنشاءات الدولية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International Construction Contracts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>PRLW819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تنازع القوانين في العقود الدولية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Conflict of laws in International Contracts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>PRLW820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)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المعاملات المصرفية الدولية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International Banking Transactions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>PRLW821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lastRenderedPageBreak/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المتجر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Commercial Concern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>PRLW822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)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BC0429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موضوعات معاصرة في قانون الشركات التجارية</w:t>
            </w:r>
          </w:p>
          <w:p w:rsidR="00991C6F" w:rsidRPr="00BC0429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Contemporary Issues in Corporate Law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>PRLW823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)</w:t>
            </w:r>
          </w:p>
        </w:tc>
      </w:tr>
    </w:tbl>
    <w:p w:rsidR="00991C6F" w:rsidRPr="00BC0429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1F3CD1">
        <w:rPr>
          <w:rFonts w:ascii="Sakkal Majalla" w:hAnsi="Sakkal Majalla" w:cs="Sakkal Majalla"/>
          <w:sz w:val="28"/>
          <w:szCs w:val="28"/>
          <w:u w:val="single"/>
          <w:rtl/>
        </w:rPr>
        <w:t>السنة الثانية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 24 ساعة مكتسبة</w:t>
      </w: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الثالث (خريف)</w:t>
      </w:r>
    </w:p>
    <w:tbl>
      <w:tblPr>
        <w:tblW w:w="6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5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255" w:type="dxa"/>
            <w:vMerge w:val="restart"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255" w:type="dxa"/>
            <w:vMerge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Doctoral dissertation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 الترشيح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Candidacy Exam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الرابع (ربيع)</w:t>
      </w:r>
    </w:p>
    <w:tbl>
      <w:tblPr>
        <w:tblW w:w="6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34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345" w:type="dxa"/>
            <w:vMerge w:val="restart"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345" w:type="dxa"/>
            <w:vMerge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345" w:type="dxa"/>
            <w:vAlign w:val="center"/>
          </w:tcPr>
          <w:p w:rsidR="00991C6F" w:rsidRPr="00B16FE3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16F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B16FE3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Doctoral dissertation  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1F3CD1">
        <w:rPr>
          <w:rFonts w:ascii="Sakkal Majalla" w:hAnsi="Sakkal Majalla" w:cs="Sakkal Majalla"/>
          <w:sz w:val="28"/>
          <w:szCs w:val="28"/>
          <w:u w:val="single"/>
          <w:rtl/>
        </w:rPr>
        <w:t>السنة الثالثة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 24 ساعة مكتسبة</w:t>
      </w: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lastRenderedPageBreak/>
        <w:t>الفصل الدراسي الخامس (خريف)</w:t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435" w:type="dxa"/>
            <w:vMerge w:val="restart"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435" w:type="dxa"/>
            <w:vMerge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Doctoral dissertation 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السادس (ربيع)</w:t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435" w:type="dxa"/>
            <w:vMerge w:val="restart"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435" w:type="dxa"/>
            <w:vMerge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F3CD1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Doctoral dissertation</w:t>
            </w:r>
          </w:p>
        </w:tc>
      </w:tr>
      <w:tr w:rsidR="00991C6F" w:rsidRPr="001F3CD1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مناقشة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Dissertation defense exam </w:t>
            </w:r>
          </w:p>
        </w:tc>
      </w:tr>
    </w:tbl>
    <w:p w:rsidR="00991C6F" w:rsidRDefault="00991C6F" w:rsidP="00991C6F">
      <w:pPr>
        <w:bidi/>
        <w:rPr>
          <w:rFonts w:ascii="Sakkal Majalla" w:hAnsi="Sakkal Majalla" w:cs="Sakkal Majalla"/>
          <w:sz w:val="28"/>
          <w:szCs w:val="28"/>
          <w:lang w:bidi="ar-QA"/>
        </w:rPr>
      </w:pPr>
    </w:p>
    <w:p w:rsidR="00991C6F" w:rsidRDefault="00991C6F" w:rsidP="00991C6F">
      <w:pPr>
        <w:bidi/>
        <w:rPr>
          <w:rFonts w:ascii="Sakkal Majalla" w:hAnsi="Sakkal Majalla" w:cs="Sakkal Majalla"/>
          <w:sz w:val="28"/>
          <w:szCs w:val="28"/>
          <w:lang w:bidi="ar-QA"/>
        </w:rPr>
      </w:pPr>
    </w:p>
    <w:p w:rsidR="00991C6F" w:rsidRPr="001F3CD1" w:rsidRDefault="00991C6F" w:rsidP="00991C6F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</w:p>
    <w:p w:rsidR="00991C6F" w:rsidRPr="00C72652" w:rsidRDefault="00991C6F" w:rsidP="00991C6F">
      <w:pPr>
        <w:shd w:val="clear" w:color="auto" w:fill="D9D9D9" w:themeFill="background1" w:themeFillShade="D9"/>
        <w:jc w:val="right"/>
        <w:rPr>
          <w:rFonts w:ascii="DIN NEXT™ ARABIC BOLD" w:hAnsi="DIN NEXT™ ARABIC BOLD" w:cs="DIN NEXT™ ARABIC BOLD"/>
          <w:sz w:val="32"/>
          <w:szCs w:val="32"/>
          <w:rtl/>
          <w:lang w:bidi="ar-QA"/>
        </w:rPr>
      </w:pPr>
      <w:r w:rsidRPr="00C72652">
        <w:rPr>
          <w:rFonts w:ascii="DIN NEXT™ ARABIC BOLD" w:hAnsi="DIN NEXT™ ARABIC BOLD" w:cs="DIN NEXT™ ARABIC BOLD"/>
          <w:sz w:val="32"/>
          <w:szCs w:val="32"/>
          <w:rtl/>
          <w:lang w:bidi="ar-QA"/>
        </w:rPr>
        <w:t>ثالثا: مسار القانون الدولي (باللغة الإنجليزية):</w:t>
      </w:r>
    </w:p>
    <w:p w:rsidR="00991C6F" w:rsidRPr="001F3CD1" w:rsidRDefault="00991C6F" w:rsidP="00991C6F">
      <w:pPr>
        <w:bidi/>
        <w:spacing w:after="200" w:line="276" w:lineRule="auto"/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QA"/>
        </w:rPr>
      </w:pPr>
      <w:r w:rsidRPr="001F3CD1">
        <w:rPr>
          <w:rFonts w:ascii="Sakkal Majalla" w:hAnsi="Sakkal Majalla" w:cs="Sakkal Majalla"/>
          <w:sz w:val="28"/>
          <w:szCs w:val="28"/>
          <w:u w:val="single"/>
          <w:rtl/>
          <w:lang w:bidi="ar-QA"/>
        </w:rPr>
        <w:t>السنة الأولى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QA"/>
        </w:rPr>
        <w:t>: 12 ساعة مكتسبة</w:t>
      </w:r>
    </w:p>
    <w:p w:rsidR="00991C6F" w:rsidRPr="001046DC" w:rsidRDefault="00991C6F" w:rsidP="00991C6F">
      <w:pPr>
        <w:bidi/>
        <w:spacing w:after="200" w:line="276" w:lineRule="auto"/>
        <w:jc w:val="center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QA"/>
        </w:rPr>
        <w:t>الفصل الدراسي الأول (خريف)</w:t>
      </w:r>
    </w:p>
    <w:tbl>
      <w:tblPr>
        <w:tblW w:w="6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55"/>
        <w:gridCol w:w="5400"/>
      </w:tblGrid>
      <w:tr w:rsidR="00991C6F" w:rsidRPr="001046DC" w:rsidTr="001851B8">
        <w:trPr>
          <w:trHeight w:val="542"/>
          <w:jc w:val="center"/>
        </w:trPr>
        <w:tc>
          <w:tcPr>
            <w:tcW w:w="1255" w:type="dxa"/>
            <w:vMerge w:val="restart"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400" w:type="dxa"/>
            <w:vMerge w:val="restart"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255" w:type="dxa"/>
            <w:vMerge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400" w:type="dxa"/>
            <w:vMerge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5400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إجباري: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مهارات البحث القانوني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Legal Research Skills (PULW800)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400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إجباري: تسوية المنازعات الدولية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Settlement of international disputes (LAWD804) </w:t>
            </w:r>
          </w:p>
        </w:tc>
      </w:tr>
    </w:tbl>
    <w:p w:rsidR="00991C6F" w:rsidRDefault="00991C6F" w:rsidP="00991C6F">
      <w:pPr>
        <w:bidi/>
        <w:ind w:firstLine="360"/>
        <w:jc w:val="center"/>
        <w:rPr>
          <w:rFonts w:ascii="Sakkal Majalla" w:hAnsi="Sakkal Majalla" w:cs="Sakkal Majalla"/>
          <w:sz w:val="28"/>
          <w:szCs w:val="28"/>
          <w:rtl/>
        </w:rPr>
      </w:pPr>
    </w:p>
    <w:p w:rsidR="00991C6F" w:rsidRPr="001F3CD1" w:rsidRDefault="00991C6F" w:rsidP="00991C6F">
      <w:pPr>
        <w:bidi/>
        <w:ind w:firstLine="360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الثاني (ربيع)</w:t>
      </w:r>
    </w:p>
    <w:tbl>
      <w:tblPr>
        <w:tblW w:w="6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80"/>
        <w:gridCol w:w="5589"/>
      </w:tblGrid>
      <w:tr w:rsidR="00991C6F" w:rsidRPr="001046DC" w:rsidTr="001851B8">
        <w:trPr>
          <w:trHeight w:val="542"/>
          <w:jc w:val="center"/>
        </w:trPr>
        <w:tc>
          <w:tcPr>
            <w:tcW w:w="1080" w:type="dxa"/>
            <w:vMerge w:val="restart"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9" w:type="dxa"/>
            <w:vMerge w:val="restart"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080" w:type="dxa"/>
            <w:vMerge/>
            <w:shd w:val="clear" w:color="auto" w:fill="DEEAF6" w:themeFill="accent1" w:themeFillTint="33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9" w:type="dxa"/>
            <w:vMerge/>
            <w:shd w:val="clear" w:color="auto" w:fill="DEEAF6" w:themeFill="accent1" w:themeFillTint="33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إجباري: الأنظمة القانونية المقارنة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Comparative Legal Systems (LAWD801)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الاختبار الشامل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Comprehensive exam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6669" w:type="dxa"/>
            <w:gridSpan w:val="2"/>
            <w:shd w:val="clear" w:color="auto" w:fill="F2F2F2" w:themeFill="background1" w:themeFillShade="F2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اختيار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واحد من</w:t>
            </w: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المقررات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الاختيارية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التالية بالتنسيق مع المشرف ومنسق الدراسات العليا</w:t>
            </w:r>
            <w:r w:rsidRPr="00F0241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القانون الدولي للبحار</w:t>
            </w:r>
          </w:p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Law of the sea (LAWD809)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EF0BC3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EF0BC3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المعاملات التجارية الدولية والاستثمار</w:t>
            </w:r>
          </w:p>
          <w:p w:rsidR="00991C6F" w:rsidRPr="00EF0BC3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EF0BC3">
              <w:rPr>
                <w:rFonts w:ascii="Sakkal Majalla" w:hAnsi="Sakkal Majalla" w:cs="Sakkal Majalla"/>
                <w:sz w:val="28"/>
                <w:szCs w:val="28"/>
              </w:rPr>
              <w:t>International Business Transactions and Investment (LAWD810)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الحقوق والحريات العامة</w:t>
            </w:r>
          </w:p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Fundamental Rights and Freedoms</w:t>
            </w: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06BC">
              <w:rPr>
                <w:rFonts w:ascii="Sakkal Majalla" w:hAnsi="Sakkal Majalla" w:cs="Sakkal Majalla"/>
                <w:sz w:val="28"/>
                <w:szCs w:val="28"/>
              </w:rPr>
              <w:t>(PULW811)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lastRenderedPageBreak/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العقود الإدارية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Administrative Contracts (PULW812)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الجرائم المعلوماتية</w:t>
            </w:r>
          </w:p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>Cyber Crimes (PULW813)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الجرائم المنظمة عبر الوطنية</w:t>
            </w:r>
          </w:p>
          <w:p w:rsidR="00991C6F" w:rsidRPr="006406BC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Cross-Border Organized Crimes</w:t>
            </w: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6406BC">
              <w:rPr>
                <w:rFonts w:ascii="Sakkal Majalla" w:hAnsi="Sakkal Majalla" w:cs="Sakkal Majalla"/>
                <w:sz w:val="28"/>
                <w:szCs w:val="28"/>
              </w:rPr>
              <w:t>(PULW814)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قانون المسؤولية الدولية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The Law of International Responsibility (PULW815)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  <w:vAlign w:val="center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  <w:vAlign w:val="center"/>
          </w:tcPr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الحل السلمي للمنازعات الدولية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6406BC">
              <w:rPr>
                <w:rFonts w:ascii="Sakkal Majalla" w:hAnsi="Sakkal Majalla" w:cs="Sakkal Majalla"/>
                <w:sz w:val="28"/>
                <w:szCs w:val="28"/>
              </w:rPr>
              <w:t>Peaceful Settlement of Inter-State Disputes (PULW816)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080" w:type="dxa"/>
          </w:tcPr>
          <w:p w:rsidR="00991C6F" w:rsidRPr="006406B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589" w:type="dxa"/>
          </w:tcPr>
          <w:p w:rsidR="00991C6F" w:rsidRDefault="00991C6F" w:rsidP="001851B8">
            <w:pPr>
              <w:spacing w:after="12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المعاملات المصرفية الدولية</w:t>
            </w:r>
          </w:p>
          <w:p w:rsidR="00991C6F" w:rsidRPr="006406BC" w:rsidRDefault="00991C6F" w:rsidP="001851B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BC0429">
              <w:rPr>
                <w:rFonts w:ascii="Sakkal Majalla" w:hAnsi="Sakkal Majalla" w:cs="Sakkal Majalla"/>
                <w:sz w:val="28"/>
                <w:szCs w:val="28"/>
              </w:rPr>
              <w:t>International Banking Transactions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(</w:t>
            </w:r>
            <w:r w:rsidRPr="00BC0429">
              <w:rPr>
                <w:rFonts w:ascii="Sakkal Majalla" w:hAnsi="Sakkal Majalla" w:cs="Sakkal Majalla"/>
                <w:sz w:val="28"/>
                <w:szCs w:val="28"/>
              </w:rPr>
              <w:t>PRLW821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)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1F3CD1">
        <w:rPr>
          <w:rFonts w:ascii="Sakkal Majalla" w:hAnsi="Sakkal Majalla" w:cs="Sakkal Majalla"/>
          <w:sz w:val="28"/>
          <w:szCs w:val="28"/>
          <w:u w:val="single"/>
          <w:rtl/>
        </w:rPr>
        <w:t>السنة الثانية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 24 ساعة مكتسبة</w:t>
      </w: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الثالث (خريف)</w:t>
      </w:r>
    </w:p>
    <w:tbl>
      <w:tblPr>
        <w:tblW w:w="6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5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255" w:type="dxa"/>
            <w:vMerge w:val="restart"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255" w:type="dxa"/>
            <w:vMerge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Doctorate dissertation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25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اختبار الترشيح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Candidacy exam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الرابع (ربيع)</w:t>
      </w:r>
    </w:p>
    <w:tbl>
      <w:tblPr>
        <w:tblW w:w="6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34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345" w:type="dxa"/>
            <w:vMerge w:val="restart"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345" w:type="dxa"/>
            <w:vMerge/>
            <w:shd w:val="clear" w:color="auto" w:fill="BDD6EE" w:themeFill="accent1" w:themeFillTint="66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BDD6EE" w:themeFill="accent1" w:themeFillTint="66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34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Doctorate dissertation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1F3CD1">
        <w:rPr>
          <w:rFonts w:ascii="Sakkal Majalla" w:hAnsi="Sakkal Majalla" w:cs="Sakkal Majalla"/>
          <w:sz w:val="28"/>
          <w:szCs w:val="28"/>
          <w:u w:val="single"/>
          <w:rtl/>
        </w:rPr>
        <w:t>السنة الثالثة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: 24 ساعة مكتسبة</w:t>
      </w: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الخامس (خريف)</w:t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435" w:type="dxa"/>
            <w:vMerge w:val="restart"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435" w:type="dxa"/>
            <w:vMerge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Doctorate dissertation </w:t>
            </w:r>
          </w:p>
        </w:tc>
      </w:tr>
    </w:tbl>
    <w:p w:rsidR="00991C6F" w:rsidRPr="001046DC" w:rsidRDefault="00991C6F" w:rsidP="00991C6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991C6F" w:rsidRPr="001F3CD1" w:rsidRDefault="00991C6F" w:rsidP="00991C6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1F3CD1">
        <w:rPr>
          <w:rFonts w:ascii="Sakkal Majalla" w:hAnsi="Sakkal Majalla" w:cs="Sakkal Majalla"/>
          <w:sz w:val="28"/>
          <w:szCs w:val="28"/>
          <w:rtl/>
        </w:rPr>
        <w:t>الفصل الدراسي السادس (ربيع)</w:t>
      </w:r>
    </w:p>
    <w:tbl>
      <w:tblPr>
        <w:tblW w:w="7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435"/>
        <w:gridCol w:w="5584"/>
      </w:tblGrid>
      <w:tr w:rsidR="00991C6F" w:rsidRPr="001046DC" w:rsidTr="001851B8">
        <w:trPr>
          <w:trHeight w:val="542"/>
          <w:jc w:val="center"/>
        </w:trPr>
        <w:tc>
          <w:tcPr>
            <w:tcW w:w="1435" w:type="dxa"/>
            <w:vMerge w:val="restart"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  <w:t>عدد الساعات المكتسبة</w:t>
            </w:r>
          </w:p>
        </w:tc>
        <w:tc>
          <w:tcPr>
            <w:tcW w:w="5584" w:type="dxa"/>
            <w:vMerge w:val="restart"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1046D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المقرر</w:t>
            </w:r>
          </w:p>
        </w:tc>
      </w:tr>
      <w:tr w:rsidR="00991C6F" w:rsidRPr="001046DC" w:rsidTr="001851B8">
        <w:trPr>
          <w:trHeight w:val="542"/>
          <w:jc w:val="center"/>
        </w:trPr>
        <w:tc>
          <w:tcPr>
            <w:tcW w:w="1435" w:type="dxa"/>
            <w:vMerge/>
            <w:shd w:val="clear" w:color="auto" w:fill="9CC2E5" w:themeFill="accent1" w:themeFillTint="99"/>
          </w:tcPr>
          <w:p w:rsidR="00991C6F" w:rsidRPr="001046DC" w:rsidRDefault="00991C6F" w:rsidP="001851B8">
            <w:pPr>
              <w:spacing w:after="120"/>
              <w:ind w:firstLine="36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84" w:type="dxa"/>
            <w:vMerge/>
            <w:shd w:val="clear" w:color="auto" w:fill="9CC2E5" w:themeFill="accent1" w:themeFillTint="99"/>
            <w:vAlign w:val="center"/>
          </w:tcPr>
          <w:p w:rsidR="00991C6F" w:rsidRPr="001046DC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إجباري: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Doctorate dissertation </w:t>
            </w:r>
          </w:p>
        </w:tc>
      </w:tr>
      <w:tr w:rsidR="00991C6F" w:rsidRPr="001046DC" w:rsidTr="001851B8">
        <w:trPr>
          <w:trHeight w:val="388"/>
          <w:jc w:val="center"/>
        </w:trPr>
        <w:tc>
          <w:tcPr>
            <w:tcW w:w="1435" w:type="dxa"/>
            <w:vAlign w:val="center"/>
          </w:tcPr>
          <w:p w:rsidR="00991C6F" w:rsidRPr="001F3CD1" w:rsidRDefault="00991C6F" w:rsidP="001851B8">
            <w:pPr>
              <w:spacing w:after="120"/>
              <w:ind w:firstLine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>0</w:t>
            </w:r>
          </w:p>
        </w:tc>
        <w:tc>
          <w:tcPr>
            <w:tcW w:w="5584" w:type="dxa"/>
            <w:vAlign w:val="center"/>
          </w:tcPr>
          <w:p w:rsidR="00991C6F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F3C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مناقشة الأطروحة </w:t>
            </w:r>
          </w:p>
          <w:p w:rsidR="00991C6F" w:rsidRPr="001F3CD1" w:rsidRDefault="00991C6F" w:rsidP="001851B8">
            <w:pPr>
              <w:spacing w:after="120"/>
              <w:ind w:firstLine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Doctorate defense exam</w:t>
            </w:r>
          </w:p>
        </w:tc>
      </w:tr>
    </w:tbl>
    <w:p w:rsidR="00991C6F" w:rsidRPr="001046DC" w:rsidRDefault="00991C6F" w:rsidP="00991C6F">
      <w:pPr>
        <w:bidi/>
        <w:spacing w:after="120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991C6F" w:rsidRPr="00C72652" w:rsidRDefault="00991C6F" w:rsidP="00991C6F">
      <w:pPr>
        <w:jc w:val="right"/>
        <w:rPr>
          <w:rFonts w:ascii="DIN NEXT™ ARABIC BOLD" w:hAnsi="DIN NEXT™ ARABIC BOLD" w:cs="DIN NEXT™ ARABIC BOLD"/>
          <w:sz w:val="32"/>
          <w:szCs w:val="32"/>
          <w:lang w:bidi="ar-QA"/>
        </w:rPr>
      </w:pPr>
      <w:r w:rsidRPr="00C72652">
        <w:rPr>
          <w:rFonts w:ascii="DIN NEXT™ ARABIC BOLD" w:hAnsi="DIN NEXT™ ARABIC BOLD" w:cs="DIN NEXT™ ARABIC BOLD"/>
          <w:sz w:val="32"/>
          <w:szCs w:val="32"/>
          <w:rtl/>
          <w:lang w:bidi="ar-QA"/>
        </w:rPr>
        <w:lastRenderedPageBreak/>
        <w:t>متطلبات التخرج</w:t>
      </w:r>
      <w:r w:rsidRPr="00C72652">
        <w:rPr>
          <w:rFonts w:ascii="DIN NEXT™ ARABIC BOLD" w:hAnsi="DIN NEXT™ ARABIC BOLD" w:cs="DIN NEXT™ ARABIC BOLD" w:hint="cs"/>
          <w:sz w:val="32"/>
          <w:szCs w:val="32"/>
          <w:rtl/>
          <w:lang w:bidi="ar-QA"/>
        </w:rPr>
        <w:t>:</w:t>
      </w:r>
    </w:p>
    <w:p w:rsidR="00991C6F" w:rsidRPr="001046DC" w:rsidRDefault="00991C6F" w:rsidP="00991C6F">
      <w:pPr>
        <w:bidi/>
        <w:spacing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يتطلب برنامج </w:t>
      </w:r>
      <w:proofErr w:type="spellStart"/>
      <w:proofErr w:type="gramStart"/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>الدكتورا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في</w:t>
      </w:r>
      <w:proofErr w:type="gramEnd"/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القانون أن يكمل الطالب المتطلبات التالية بنجاح ليكون مؤهلا للتخرج:</w:t>
      </w:r>
    </w:p>
    <w:p w:rsidR="00991C6F" w:rsidRDefault="00991C6F" w:rsidP="00991C6F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>
        <w:rPr>
          <w:rFonts w:ascii="Sakkal Majalla" w:hAnsi="Sakkal Majalla" w:cs="Sakkal Majalla"/>
          <w:sz w:val="28"/>
          <w:szCs w:val="28"/>
          <w:rtl/>
          <w:lang w:bidi="ar-EG"/>
        </w:rPr>
        <w:t>إكمال 60 ساعة م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كتسبة بنجاح، وتنقسم إلى:</w:t>
      </w:r>
    </w:p>
    <w:p w:rsidR="00991C6F" w:rsidRDefault="00991C6F" w:rsidP="00991C6F">
      <w:pPr>
        <w:numPr>
          <w:ilvl w:val="1"/>
          <w:numId w:val="4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12 ساعة من المقررات حسب الخطة الدراسية للمسار الذي اختاره الطالب، وبمعدل 3.0 من 4.0 </w:t>
      </w:r>
    </w:p>
    <w:p w:rsidR="00991C6F" w:rsidRDefault="00991C6F" w:rsidP="00991C6F">
      <w:pPr>
        <w:numPr>
          <w:ilvl w:val="1"/>
          <w:numId w:val="4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48 ساعة للأطروحة.</w:t>
      </w:r>
    </w:p>
    <w:p w:rsidR="00991C6F" w:rsidRDefault="00991C6F" w:rsidP="00991C6F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>اجتياز الامتحان الشامل في نهاية السنة الدراسية الأولى (بعد اجتياز 12 ساعة مكتسبة من المقررات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بنجاح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>).</w:t>
      </w:r>
    </w:p>
    <w:p w:rsidR="00991C6F" w:rsidRPr="001F3CD1" w:rsidRDefault="00991C6F" w:rsidP="00991C6F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>اجتياز اختبار الترشيح في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نهاية الفصل الدراسي الثالث (أول فصل في السنة الدراسية الثانية).</w:t>
      </w:r>
    </w:p>
    <w:p w:rsidR="00991C6F" w:rsidRPr="001046DC" w:rsidRDefault="00991C6F" w:rsidP="00991C6F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الانتهاء من </w:t>
      </w:r>
      <w:r w:rsidRPr="001046DC">
        <w:rPr>
          <w:rFonts w:ascii="Sakkal Majalla" w:hAnsi="Sakkal Majalla" w:cs="Sakkal Majalla" w:hint="cs"/>
          <w:sz w:val="28"/>
          <w:szCs w:val="28"/>
          <w:rtl/>
          <w:lang w:bidi="ar-EG"/>
        </w:rPr>
        <w:t>كتابة الأطروحة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(باللغة العربية أو الإنجليزية،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حسب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لغة المسار الذي اختاره الطالب).</w:t>
      </w:r>
    </w:p>
    <w:p w:rsidR="00991C6F" w:rsidRPr="001046DC" w:rsidRDefault="00991C6F" w:rsidP="00991C6F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EG"/>
        </w:rPr>
      </w:pP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النجاح في مناقشة الأطروحة العلمية المكتوبة في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نهاية السنة الدراسية الثالثة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 xml:space="preserve"> (يقبل التمديد بحيث لا تتجا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وز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مدة الدراسة الإجمالية عن 6 سنوات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منذ بدء الدراسة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>).</w:t>
      </w:r>
    </w:p>
    <w:p w:rsidR="00991C6F" w:rsidRPr="001046DC" w:rsidRDefault="00991C6F" w:rsidP="00991C6F">
      <w:pPr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المشاركة بورقة علمية في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 xml:space="preserve"> مؤتمر واحد على الأقل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،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والحصول على قبول للنشر لمقالتين بحثيتين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في المجلات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العلمية المحكمة 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>المعتمدة لدى الكلية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،</w:t>
      </w:r>
      <w:r w:rsidRPr="001046D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قبل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التخرج.</w:t>
      </w:r>
    </w:p>
    <w:p w:rsidR="00991C6F" w:rsidRPr="004A265A" w:rsidRDefault="00991C6F" w:rsidP="00991C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akkal Majalla" w:hAnsi="Sakkal Majalla" w:cs="Sakkal Majalla"/>
          <w:sz w:val="28"/>
          <w:szCs w:val="28"/>
          <w:lang w:bidi="ar-QA"/>
        </w:rPr>
      </w:pPr>
      <w:r w:rsidRPr="001F3CD1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يتوقع 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إنهاء متطلبات </w:t>
      </w:r>
      <w:r w:rsidRPr="001F3CD1">
        <w:rPr>
          <w:rFonts w:ascii="Sakkal Majalla" w:hAnsi="Sakkal Majalla" w:cs="Sakkal Majalla"/>
          <w:sz w:val="28"/>
          <w:szCs w:val="28"/>
          <w:rtl/>
          <w:lang w:bidi="ar-EG"/>
        </w:rPr>
        <w:t>التخرج (إنهاء المقررات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،</w:t>
      </w:r>
      <w:r w:rsidRPr="001F3CD1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واجتياز الاختبارات،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</w:t>
      </w:r>
      <w:r>
        <w:rPr>
          <w:rFonts w:ascii="Sakkal Majalla" w:hAnsi="Sakkal Majalla" w:cs="Sakkal Majalla"/>
          <w:sz w:val="28"/>
          <w:szCs w:val="28"/>
          <w:rtl/>
          <w:lang w:bidi="ar-EG"/>
        </w:rPr>
        <w:t>و</w:t>
      </w:r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>كتابة الأطروحة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،</w:t>
      </w:r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 xml:space="preserve"> ومناقشتها بنجاح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،</w:t>
      </w:r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 xml:space="preserve"> وتقديم متطلبات التخرج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الأخرى</w:t>
      </w:r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>) خلال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ثلاث </w:t>
      </w:r>
      <w:r w:rsidRPr="001F3CD1">
        <w:rPr>
          <w:rFonts w:ascii="Sakkal Majalla" w:hAnsi="Sakkal Majalla" w:cs="Sakkal Majalla"/>
          <w:sz w:val="28"/>
          <w:szCs w:val="28"/>
          <w:rtl/>
          <w:lang w:bidi="ar-QA"/>
        </w:rPr>
        <w:t>سنوات من</w:t>
      </w:r>
      <w:r>
        <w:rPr>
          <w:rFonts w:ascii="Sakkal Majalla" w:hAnsi="Sakkal Majalla" w:cs="Sakkal Majalla"/>
          <w:sz w:val="28"/>
          <w:szCs w:val="28"/>
          <w:rtl/>
          <w:lang w:bidi="ar-QA"/>
        </w:rPr>
        <w:t xml:space="preserve"> تاريخ تسجيل الطالب في البرنامج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. </w:t>
      </w:r>
    </w:p>
    <w:p w:rsidR="00991C6F" w:rsidRPr="00C72652" w:rsidRDefault="00991C6F" w:rsidP="00991C6F">
      <w:pPr>
        <w:bidi/>
        <w:rPr>
          <w:rFonts w:ascii="DIN NEXT™ ARABIC BOLD" w:hAnsi="DIN NEXT™ ARABIC BOLD" w:cs="DIN NEXT™ ARABIC BOLD"/>
          <w:sz w:val="32"/>
          <w:szCs w:val="32"/>
          <w:rtl/>
        </w:rPr>
      </w:pPr>
      <w:r w:rsidRPr="00C72652">
        <w:rPr>
          <w:rFonts w:ascii="DIN NEXT™ ARABIC BOLD" w:hAnsi="DIN NEXT™ ARABIC BOLD" w:cs="DIN NEXT™ ARABIC BOLD"/>
          <w:sz w:val="32"/>
          <w:szCs w:val="32"/>
          <w:rtl/>
        </w:rPr>
        <w:t>تواصل معنا:</w:t>
      </w:r>
    </w:p>
    <w:p w:rsidR="00991C6F" w:rsidRPr="004A265A" w:rsidRDefault="00991C6F" w:rsidP="00991C6F">
      <w:pPr>
        <w:bidi/>
        <w:spacing w:line="240" w:lineRule="auto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980A0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4A265A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مكتب الدراسات العليا </w:t>
      </w:r>
    </w:p>
    <w:p w:rsidR="00991C6F" w:rsidRPr="004A265A" w:rsidRDefault="00991C6F" w:rsidP="00991C6F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4A265A">
        <w:rPr>
          <w:rFonts w:ascii="Sakkal Majalla" w:hAnsi="Sakkal Majalla" w:cs="Sakkal Majalla"/>
          <w:sz w:val="20"/>
          <w:szCs w:val="20"/>
          <w:rtl/>
        </w:rPr>
        <w:t xml:space="preserve">كلية القانون - جامعة قطر </w:t>
      </w:r>
    </w:p>
    <w:p w:rsidR="00991C6F" w:rsidRPr="004A265A" w:rsidRDefault="00991C6F" w:rsidP="00991C6F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4A265A">
        <w:rPr>
          <w:rFonts w:ascii="Sakkal Majalla" w:hAnsi="Sakkal Majalla" w:cs="Sakkal Majalla"/>
          <w:sz w:val="20"/>
          <w:szCs w:val="20"/>
          <w:rtl/>
        </w:rPr>
        <w:t>ص.ب: 2713 الدوحة- قطر</w:t>
      </w:r>
    </w:p>
    <w:p w:rsidR="00991C6F" w:rsidRPr="004A265A" w:rsidRDefault="00991C6F" w:rsidP="00991C6F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4A265A">
        <w:rPr>
          <w:rFonts w:ascii="Sakkal Majalla" w:hAnsi="Sakkal Majalla" w:cs="Sakkal Majalla"/>
          <w:sz w:val="20"/>
          <w:szCs w:val="20"/>
          <w:rtl/>
        </w:rPr>
        <w:t>البريد الإلكتروني:</w:t>
      </w:r>
      <w:r w:rsidRPr="004A265A">
        <w:rPr>
          <w:rFonts w:ascii="Sakkal Majalla" w:hAnsi="Sakkal Majalla" w:cs="Sakkal Majalla"/>
          <w:sz w:val="20"/>
          <w:szCs w:val="20"/>
        </w:rPr>
        <w:t xml:space="preserve"> law.graduate@qu.edu.qa  </w:t>
      </w:r>
      <w:r w:rsidRPr="004A265A">
        <w:rPr>
          <w:rFonts w:ascii="Sakkal Majalla" w:hAnsi="Sakkal Majalla" w:cs="Sakkal Majalla"/>
          <w:sz w:val="20"/>
          <w:szCs w:val="20"/>
          <w:rtl/>
        </w:rPr>
        <w:t xml:space="preserve"> </w:t>
      </w:r>
    </w:p>
    <w:p w:rsidR="009E386D" w:rsidRDefault="009E386D"/>
    <w:sectPr w:rsidR="009E38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F7" w:rsidRDefault="00D90EF7" w:rsidP="00991C6F">
      <w:pPr>
        <w:spacing w:after="0" w:line="240" w:lineRule="auto"/>
      </w:pPr>
      <w:r>
        <w:separator/>
      </w:r>
    </w:p>
  </w:endnote>
  <w:endnote w:type="continuationSeparator" w:id="0">
    <w:p w:rsidR="00D90EF7" w:rsidRDefault="00D90EF7" w:rsidP="009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BOLD">
    <w:altName w:val="Segoe UI Semibold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F7" w:rsidRDefault="00D90EF7" w:rsidP="00991C6F">
      <w:pPr>
        <w:spacing w:after="0" w:line="240" w:lineRule="auto"/>
      </w:pPr>
      <w:r>
        <w:separator/>
      </w:r>
    </w:p>
  </w:footnote>
  <w:footnote w:type="continuationSeparator" w:id="0">
    <w:p w:rsidR="00D90EF7" w:rsidRDefault="00D90EF7" w:rsidP="009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6F" w:rsidRDefault="00991C6F" w:rsidP="00991C6F">
    <w:pPr>
      <w:pStyle w:val="Header"/>
      <w:bidi/>
    </w:pPr>
    <w:r>
      <w:rPr>
        <w:noProof/>
      </w:rPr>
      <w:drawing>
        <wp:inline distT="0" distB="0" distL="0" distR="0" wp14:anchorId="46F13693" wp14:editId="2EC78550">
          <wp:extent cx="1911350" cy="939800"/>
          <wp:effectExtent l="0" t="0" r="0" b="0"/>
          <wp:docPr id="1" name="Picture 1" descr="cid:image017.jpg@01DA791D.4D4CC4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17.jpg@01DA791D.4D4CC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9F"/>
    <w:multiLevelType w:val="hybridMultilevel"/>
    <w:tmpl w:val="AC4E9A2A"/>
    <w:lvl w:ilvl="0" w:tplc="8344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4C5A"/>
    <w:multiLevelType w:val="hybridMultilevel"/>
    <w:tmpl w:val="DE38CCE8"/>
    <w:lvl w:ilvl="0" w:tplc="8344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2C9"/>
    <w:multiLevelType w:val="hybridMultilevel"/>
    <w:tmpl w:val="DBC6D33E"/>
    <w:lvl w:ilvl="0" w:tplc="C792A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A87"/>
    <w:multiLevelType w:val="hybridMultilevel"/>
    <w:tmpl w:val="FB8CD3C4"/>
    <w:lvl w:ilvl="0" w:tplc="F42A94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8286C"/>
    <w:multiLevelType w:val="hybridMultilevel"/>
    <w:tmpl w:val="DEA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0EF8"/>
    <w:multiLevelType w:val="hybridMultilevel"/>
    <w:tmpl w:val="F740080E"/>
    <w:lvl w:ilvl="0" w:tplc="F42A9470">
      <w:start w:val="1"/>
      <w:numFmt w:val="decimal"/>
      <w:lvlText w:val="%1-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F4371"/>
    <w:multiLevelType w:val="hybridMultilevel"/>
    <w:tmpl w:val="2F5A10B0"/>
    <w:lvl w:ilvl="0" w:tplc="834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6F"/>
    <w:rsid w:val="005162F0"/>
    <w:rsid w:val="00991C6F"/>
    <w:rsid w:val="009E386D"/>
    <w:rsid w:val="00D17355"/>
    <w:rsid w:val="00D9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DB19"/>
  <w15:chartTrackingRefBased/>
  <w15:docId w15:val="{5752C581-4A3B-4E2B-8EF4-AD8AFEEA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C6F"/>
    <w:pPr>
      <w:bidi/>
      <w:spacing w:after="200" w:line="276" w:lineRule="auto"/>
      <w:ind w:left="720"/>
      <w:contextualSpacing/>
    </w:pPr>
    <w:rPr>
      <w:rFonts w:ascii="Trebuchet MS" w:eastAsia="Times New Roman" w:hAnsi="Trebuchet MS" w:cs="Tahoma"/>
    </w:rPr>
  </w:style>
  <w:style w:type="paragraph" w:styleId="Header">
    <w:name w:val="header"/>
    <w:basedOn w:val="Normal"/>
    <w:link w:val="HeaderChar"/>
    <w:uiPriority w:val="99"/>
    <w:unhideWhenUsed/>
    <w:rsid w:val="0099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6F"/>
  </w:style>
  <w:style w:type="paragraph" w:styleId="Footer">
    <w:name w:val="footer"/>
    <w:basedOn w:val="Normal"/>
    <w:link w:val="FooterChar"/>
    <w:uiPriority w:val="99"/>
    <w:unhideWhenUsed/>
    <w:rsid w:val="0099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Bih</dc:creator>
  <cp:keywords/>
  <dc:description/>
  <cp:lastModifiedBy>Esma Bih</cp:lastModifiedBy>
  <cp:revision>2</cp:revision>
  <dcterms:created xsi:type="dcterms:W3CDTF">2024-10-24T08:52:00Z</dcterms:created>
  <dcterms:modified xsi:type="dcterms:W3CDTF">2024-10-24T08:52:00Z</dcterms:modified>
</cp:coreProperties>
</file>